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932C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黄石奥体中心体育场泛光灯年度维保</w:t>
      </w:r>
    </w:p>
    <w:p w14:paraId="3A21641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项目合同书</w:t>
      </w:r>
    </w:p>
    <w:p w14:paraId="5D14646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甲方（委托方）：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湖北鄂东体育发展集团有限公司                        </w:t>
      </w:r>
    </w:p>
    <w:p w14:paraId="7AA44FD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乙方（受托方）：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             </w:t>
      </w:r>
    </w:p>
    <w:p w14:paraId="0ED92B8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Calibri" w:eastAsia="仿宋_GB2312" w:cs="仿宋_GB2312"/>
          <w:color w:val="0F1115"/>
          <w:kern w:val="2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Calibri" w:eastAsia="仿宋_GB2312" w:cs="仿宋_GB2312"/>
          <w:color w:val="0F1115"/>
          <w:kern w:val="2"/>
          <w:sz w:val="32"/>
          <w:szCs w:val="32"/>
          <w:shd w:val="clear" w:fill="FFFFFF"/>
          <w:lang w:val="en-US" w:eastAsia="zh-CN" w:bidi="ar"/>
        </w:rPr>
        <w:t xml:space="preserve">依照《中华人民共和国民法典》及相关法律、法规的规定，遵循平等、自愿、公平和诚实信用原则，就乙方承接奥体中心体育场泛光灯年度维保服务事宜，经协商一致，订立本合同。  </w:t>
      </w:r>
    </w:p>
    <w:p w14:paraId="35CF75AD">
      <w:pPr>
        <w:pStyle w:val="6"/>
        <w:widowControl/>
        <w:numPr>
          <w:ilvl w:val="0"/>
          <w:numId w:val="0"/>
        </w:numPr>
        <w:ind w:left="640" w:leftChars="0" w:right="0" w:rightChars="0"/>
        <w:rPr>
          <w:rFonts w:hint="eastAsia" w:ascii="仿宋_GB2312" w:hAnsi="Calibri" w:eastAsia="仿宋_GB2312" w:cs="仿宋_GB2312"/>
          <w:color w:val="0F1115"/>
          <w:kern w:val="2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一、服务范围与内容</w:t>
      </w:r>
      <w:bookmarkEnd w:id="0"/>
    </w:p>
    <w:p w14:paraId="392468C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1.服务地点与面积范围：黄石奥体中心体育场。</w:t>
      </w:r>
    </w:p>
    <w:p w14:paraId="07CAD15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color w:val="0F1115"/>
          <w:kern w:val="2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2.服务范围：</w:t>
      </w:r>
      <w:r>
        <w:rPr>
          <w:rFonts w:hint="eastAsia" w:ascii="仿宋_GB2312" w:hAnsi="Calibri" w:eastAsia="仿宋_GB2312" w:cs="仿宋_GB2312"/>
          <w:color w:val="0F1115"/>
          <w:kern w:val="2"/>
          <w:sz w:val="32"/>
          <w:szCs w:val="32"/>
          <w:shd w:val="clear" w:fill="FFFFFF"/>
          <w:lang w:val="en-US" w:eastAsia="zh-CN" w:bidi="ar"/>
        </w:rPr>
        <w:t>对奥体中心体育场泛光灯（全彩LED动画屏）进行年度维修保养，包括但不限于：灯珠更换、线路检修、控制器维修更换、系统调试、定期巡检、预防性维护、应急故障处理等全流程专业维修服务。具体设备数量及规格以现场实际为准。</w:t>
      </w:r>
    </w:p>
    <w:tbl>
      <w:tblPr>
        <w:tblStyle w:val="4"/>
        <w:tblW w:w="7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5299"/>
      </w:tblGrid>
      <w:tr w14:paraId="3450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  <w:jc w:val="center"/>
        </w:trPr>
        <w:tc>
          <w:tcPr>
            <w:tcW w:w="2630" w:type="dxa"/>
            <w:noWrap w:val="0"/>
            <w:vAlign w:val="center"/>
          </w:tcPr>
          <w:p w14:paraId="59F9623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5299" w:type="dxa"/>
            <w:noWrap w:val="0"/>
            <w:vAlign w:val="center"/>
          </w:tcPr>
          <w:p w14:paraId="73EA4EF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用途说明</w:t>
            </w:r>
          </w:p>
        </w:tc>
      </w:tr>
      <w:tr w14:paraId="37CF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630" w:type="dxa"/>
            <w:noWrap w:val="0"/>
            <w:vAlign w:val="center"/>
          </w:tcPr>
          <w:p w14:paraId="20146F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定期巡检</w:t>
            </w:r>
          </w:p>
        </w:tc>
        <w:tc>
          <w:tcPr>
            <w:tcW w:w="5299" w:type="dxa"/>
            <w:noWrap w:val="0"/>
            <w:vAlign w:val="center"/>
          </w:tcPr>
          <w:p w14:paraId="0A06C7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巡检人工、设备检测、系统调试等</w:t>
            </w:r>
          </w:p>
        </w:tc>
      </w:tr>
      <w:tr w14:paraId="41B8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30" w:type="dxa"/>
            <w:noWrap w:val="0"/>
            <w:vAlign w:val="center"/>
          </w:tcPr>
          <w:p w14:paraId="04BFA1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灯珠更换</w:t>
            </w:r>
          </w:p>
        </w:tc>
        <w:tc>
          <w:tcPr>
            <w:tcW w:w="5299" w:type="dxa"/>
            <w:noWrap w:val="0"/>
            <w:vAlign w:val="center"/>
          </w:tcPr>
          <w:p w14:paraId="1EE33C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LED点光源采购、拆除、安装人工等</w:t>
            </w:r>
          </w:p>
        </w:tc>
      </w:tr>
      <w:tr w14:paraId="691DB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30" w:type="dxa"/>
            <w:noWrap w:val="0"/>
            <w:vAlign w:val="center"/>
          </w:tcPr>
          <w:p w14:paraId="1D1ED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线路检修</w:t>
            </w:r>
          </w:p>
        </w:tc>
        <w:tc>
          <w:tcPr>
            <w:tcW w:w="5299" w:type="dxa"/>
            <w:noWrap w:val="0"/>
            <w:vAlign w:val="center"/>
          </w:tcPr>
          <w:p w14:paraId="297AD2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配线及网线拆除、穿管敷设、线材更换等</w:t>
            </w:r>
          </w:p>
        </w:tc>
      </w:tr>
      <w:tr w14:paraId="57D8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30" w:type="dxa"/>
            <w:noWrap w:val="0"/>
            <w:vAlign w:val="center"/>
          </w:tcPr>
          <w:p w14:paraId="4ACCB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控制器维修更换</w:t>
            </w:r>
          </w:p>
        </w:tc>
        <w:tc>
          <w:tcPr>
            <w:tcW w:w="5299" w:type="dxa"/>
            <w:noWrap w:val="0"/>
            <w:vAlign w:val="center"/>
          </w:tcPr>
          <w:p w14:paraId="4C2645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开关电源、漏电保护开关、自动空气开关更换等</w:t>
            </w:r>
          </w:p>
        </w:tc>
      </w:tr>
      <w:tr w14:paraId="6896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30" w:type="dxa"/>
            <w:noWrap w:val="0"/>
            <w:vAlign w:val="center"/>
          </w:tcPr>
          <w:p w14:paraId="37E67D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预防性维护</w:t>
            </w:r>
          </w:p>
        </w:tc>
        <w:tc>
          <w:tcPr>
            <w:tcW w:w="5299" w:type="dxa"/>
            <w:noWrap w:val="0"/>
            <w:vAlign w:val="center"/>
          </w:tcPr>
          <w:p w14:paraId="4037AF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配管更换、防锈处理、密封检测、清洁保养等</w:t>
            </w:r>
          </w:p>
        </w:tc>
      </w:tr>
      <w:tr w14:paraId="1BC3A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630" w:type="dxa"/>
            <w:noWrap w:val="0"/>
            <w:vAlign w:val="center"/>
          </w:tcPr>
          <w:p w14:paraId="73692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应急故障处理</w:t>
            </w:r>
          </w:p>
        </w:tc>
        <w:tc>
          <w:tcPr>
            <w:tcW w:w="5299" w:type="dxa"/>
            <w:noWrap w:val="0"/>
            <w:vAlign w:val="center"/>
          </w:tcPr>
          <w:p w14:paraId="68D3D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突发故障响应、抢修人工及材料等</w:t>
            </w:r>
          </w:p>
        </w:tc>
      </w:tr>
      <w:tr w14:paraId="6E4C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30" w:type="dxa"/>
            <w:noWrap w:val="0"/>
            <w:vAlign w:val="center"/>
          </w:tcPr>
          <w:p w14:paraId="04C3B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脚手架搭拆</w:t>
            </w:r>
          </w:p>
        </w:tc>
        <w:tc>
          <w:tcPr>
            <w:tcW w:w="5299" w:type="dxa"/>
            <w:noWrap w:val="0"/>
            <w:vAlign w:val="center"/>
          </w:tcPr>
          <w:p w14:paraId="0DFA0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脚手架搭设及拆除</w:t>
            </w:r>
          </w:p>
        </w:tc>
      </w:tr>
      <w:tr w14:paraId="1577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630" w:type="dxa"/>
            <w:noWrap w:val="0"/>
            <w:vAlign w:val="center"/>
          </w:tcPr>
          <w:p w14:paraId="2CE66A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定期巡检</w:t>
            </w:r>
          </w:p>
        </w:tc>
        <w:tc>
          <w:tcPr>
            <w:tcW w:w="5299" w:type="dxa"/>
            <w:noWrap w:val="0"/>
            <w:vAlign w:val="center"/>
          </w:tcPr>
          <w:p w14:paraId="05AF6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巡检人工、设备检测、系统调试等</w:t>
            </w:r>
          </w:p>
        </w:tc>
      </w:tr>
    </w:tbl>
    <w:p w14:paraId="75CC509A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</w:p>
    <w:p w14:paraId="6FA623A9">
      <w:pPr>
        <w:pStyle w:val="6"/>
        <w:widowControl/>
        <w:ind w:left="319" w:leftChars="152" w:firstLine="320" w:firstLineChars="100"/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3.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服务期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限：服务期限为壹年，自</w:t>
      </w:r>
      <w:r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  <w:t xml:space="preserve">  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年</w:t>
      </w:r>
      <w:r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  <w:t xml:space="preserve">  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月</w:t>
      </w:r>
      <w:r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  <w:t xml:space="preserve">  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日 起至</w:t>
      </w:r>
      <w:r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  <w:t xml:space="preserve">     </w:t>
      </w:r>
    </w:p>
    <w:p w14:paraId="3C647E4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textAlignment w:val="auto"/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年</w:t>
      </w:r>
      <w:r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  <w:t xml:space="preserve">  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月</w:t>
      </w:r>
      <w:r>
        <w:rPr>
          <w:rFonts w:hint="eastAsia" w:ascii="仿宋_GB2312" w:eastAsia="仿宋_GB2312" w:cs="仿宋_GB2312"/>
          <w:kern w:val="2"/>
          <w:sz w:val="32"/>
          <w:szCs w:val="32"/>
          <w:u w:val="single"/>
          <w:lang w:val="en-US"/>
        </w:rPr>
        <w:t xml:space="preserve">  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日 止。服务期满，甲方根据乙方履约情况决定是否续签。</w:t>
      </w:r>
    </w:p>
    <w:p w14:paraId="21931759">
      <w:pPr>
        <w:keepNext w:val="0"/>
        <w:keepLines w:val="0"/>
        <w:widowControl w:val="0"/>
        <w:suppressLineNumbers w:val="0"/>
        <w:spacing w:before="0" w:beforeAutospacing="0" w:after="0" w:afterAutospacing="0"/>
        <w:ind w:left="64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4.服务标准及 要求：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6256"/>
      </w:tblGrid>
      <w:tr w14:paraId="7488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4B8E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指标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967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标准要求</w:t>
            </w:r>
          </w:p>
        </w:tc>
      </w:tr>
      <w:tr w14:paraId="60360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99D5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设备完好率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736D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全年平均不低于95%</w:t>
            </w:r>
          </w:p>
        </w:tc>
      </w:tr>
      <w:tr w14:paraId="2DA8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13B8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故障响应时间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E82F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接到甲方通知后2小时内响应</w:t>
            </w:r>
          </w:p>
        </w:tc>
      </w:tr>
      <w:tr w14:paraId="639E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D090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故障修复时间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A00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一般故障24小时内修复，重大故障72小时内修复</w:t>
            </w:r>
          </w:p>
        </w:tc>
      </w:tr>
      <w:tr w14:paraId="7FA8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3290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重大活动保障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4B10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活动期间派员现场值守，确保灯光效果正常</w:t>
            </w:r>
          </w:p>
        </w:tc>
      </w:tr>
      <w:tr w14:paraId="30903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9F34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定期巡检频次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846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每月不少于1次全面巡检，并出具巡检报告</w:t>
            </w:r>
          </w:p>
        </w:tc>
      </w:tr>
      <w:tr w14:paraId="4D03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DBE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预防性维护</w:t>
            </w:r>
          </w:p>
        </w:tc>
        <w:tc>
          <w:tcPr>
            <w:tcW w:w="6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7C59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每季度不少于1次全面预防性维护</w:t>
            </w:r>
          </w:p>
        </w:tc>
      </w:tr>
    </w:tbl>
    <w:p w14:paraId="1FD44C3F">
      <w:pPr>
        <w:pStyle w:val="6"/>
        <w:widowControl/>
        <w:numPr>
          <w:numId w:val="0"/>
        </w:numPr>
        <w:ind w:left="640" w:leftChars="0" w:right="0" w:rightChars="0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宋体" w:eastAsia="黑体" w:cs="黑体"/>
          <w:sz w:val="32"/>
          <w:szCs w:val="32"/>
          <w:lang w:eastAsia="zh-CN"/>
        </w:rPr>
        <w:t>合同价款及支付</w:t>
      </w:r>
    </w:p>
    <w:p w14:paraId="0CBA5AF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   1.年度维保费用：总价为人民币（大写）：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，（小写）：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元,含税，为年度包干价，开具增值税专用发票。</w:t>
      </w:r>
    </w:p>
    <w:p w14:paraId="0751B8D2">
      <w:pPr>
        <w:keepNext w:val="0"/>
        <w:keepLines w:val="0"/>
        <w:widowControl w:val="0"/>
        <w:suppressLineNumbers w:val="0"/>
        <w:spacing w:before="0" w:beforeAutospacing="0" w:after="0" w:afterAutospacing="0"/>
        <w:ind w:left="64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2.对公付款账户信息</w:t>
      </w:r>
    </w:p>
    <w:p w14:paraId="3BD3C0E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单位名称：</w:t>
      </w:r>
    </w:p>
    <w:p w14:paraId="4BF2C3F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纳税人识别号:</w:t>
      </w:r>
    </w:p>
    <w:p w14:paraId="1F3262E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开户行：</w:t>
      </w:r>
    </w:p>
    <w:p w14:paraId="297830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账号：</w:t>
      </w:r>
    </w:p>
    <w:p w14:paraId="7C9E75F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地址：</w:t>
      </w:r>
    </w:p>
    <w:p w14:paraId="6500CEF1">
      <w:pPr>
        <w:pStyle w:val="6"/>
        <w:widowControl/>
        <w:ind w:left="0" w:firstLine="64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3.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付款方式：付款周期为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半年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，第一周期在签订合同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个月后，乙方按要求履行合同内容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经甲方书面确认后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，开具合同金额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%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的正规发票，甲方在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收到乙方开具发票的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30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日内支付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%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合同款；第二周期在签订合同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个月后，乙方按要求履行合同内容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经甲方书面确认后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，开具合同金额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%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的正规发票，甲方在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收到乙方开具发票的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30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日内支付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%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合同款。</w:t>
      </w:r>
    </w:p>
    <w:p w14:paraId="71DD0B4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三、甲方权利和义务</w:t>
      </w:r>
    </w:p>
    <w:p w14:paraId="56B41FE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1.有权对乙方的维保服务工作进行监督、检查和考核，并提出整改意见；</w:t>
      </w:r>
    </w:p>
    <w:p w14:paraId="5EE92FB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2.有权根据大型活动安排，要求乙方调整维保作业时间或加强保障力量；</w:t>
      </w:r>
    </w:p>
    <w:p w14:paraId="7FE907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3.按合同约定及时支付服务费用；</w:t>
      </w:r>
    </w:p>
    <w:p w14:paraId="6B59CBC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4.发现设备故障或异常及时通知乙方处理，并协助乙方协调作业时间安排。</w:t>
      </w:r>
    </w:p>
    <w:p w14:paraId="0CCA3A7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5.为乙方实施维保作业提供必要的场地和便利条件。</w:t>
      </w:r>
    </w:p>
    <w:p w14:paraId="246D927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四、乙方权利和义务</w:t>
      </w:r>
    </w:p>
    <w:p w14:paraId="75710B3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1.乙方应配备应具有3年以上泛光灯、LED显示屏或景观照明设施维修保养经验的专业技术人员负责维保工作，至少派1名固定的现场技术人员全程对接；</w:t>
      </w:r>
    </w:p>
    <w:p w14:paraId="540F1DD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2.乙方应配备齐全的检测维修设备及工器具，确保设备性能良好，满足维保工作需要；</w:t>
      </w:r>
    </w:p>
    <w:p w14:paraId="4044C5C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3.乙方应严格按照本合同约定的服务内容、标准开展维保作业，确保维保质量；</w:t>
      </w:r>
    </w:p>
    <w:p w14:paraId="0EB664C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4.乙方应建立健全维保作业安全管理制度，对作业人员进行安全教育和技术交底，严格遵守安全生产规定，登高作业时须采取必要的安全防护措施，因乙方原因造成的人员伤亡及财产损失由乙方自行承担；；</w:t>
      </w:r>
    </w:p>
    <w:p w14:paraId="446343E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5.乙方应配合甲方组织的大型活动，做好活动前设备全面检查、活动中现场保障、活动后效果复验等工作；</w:t>
      </w:r>
    </w:p>
    <w:p w14:paraId="26D32B3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6.未经甲方书面同意，乙方不得将本合同项下的权利义务以任何形式转让、分包或转包给第三方；</w:t>
      </w:r>
    </w:p>
    <w:p w14:paraId="718703D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7.乙方应妥善保管维保设备及材料，因乙方原因造成的设备损坏或材料损失，由乙方自行承担；</w:t>
      </w:r>
    </w:p>
    <w:p w14:paraId="359F159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8.维保作业期间，乙方应保持场地整洁，产生的废弃物应及时清运，不得污染环境。</w:t>
      </w:r>
    </w:p>
    <w:p w14:paraId="5506609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9.乙方应建立完善的设备维保档案，每次维保作业后如实填写维保记录，每月向甲方提交月度维保报告，每季度提交季度维保总结。</w:t>
      </w:r>
    </w:p>
    <w:p w14:paraId="6D56849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五、甲方违约责任</w:t>
      </w:r>
    </w:p>
    <w:p w14:paraId="51F4A94C">
      <w:pPr>
        <w:pStyle w:val="6"/>
        <w:widowControl/>
        <w:ind w:left="0" w:firstLine="640"/>
        <w:rPr>
          <w:rFonts w:hint="eastAsia" w:ascii="仿宋_GB2312" w:eastAsia="仿宋_GB2312" w:cs="仿宋_GB2312"/>
          <w:kern w:val="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甲方未按合同约定支付服务费用的，每逾期一日，按应付未付款项的万分之五向乙方支付违约金，但违约金总额不超过合同总价的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/>
        </w:rPr>
        <w:t>10%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。逾期超过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/>
        </w:rPr>
        <w:t>30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日的，乙方有权暂停服务，并书面通知甲方。</w:t>
      </w:r>
    </w:p>
    <w:p w14:paraId="4225965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六、乙方违约责任</w:t>
      </w:r>
    </w:p>
    <w:p w14:paraId="486BB6F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1.维保质量不符合本合同约定标准的，甲方有权要求乙方限期整改；逾期未整改或整改后仍不合格的，甲方有权扣减当期服务费用的20%作为违约金；</w:t>
      </w:r>
    </w:p>
    <w:p w14:paraId="523E062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因乙方维保不当造成泛光灯设备大面积损坏或无法正常运行的，乙方应在甲方规定期限内修复至正常状态，并承担由此产生的全部费用；逾期未修复的，甲方有权委托第三方处理，所产生费用由乙方承担，同时甲方有权解除合同；</w:t>
      </w:r>
    </w:p>
    <w:p w14:paraId="2FB621D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3.乙方未经甲方书面同意擅自转让、分包或转包本合同的，甲方有权立即解除合同，乙方应退还全部已付款项，并按合同总价的20%向甲方支付违约金；</w:t>
      </w:r>
    </w:p>
    <w:p w14:paraId="1582408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4.乙方未能按约定时间响应或修复故障的，每发生一次，甲方有权扣减合同总价的10%作为违约金；累计发生三次及以上的，甲方有权单方解除合同；</w:t>
      </w:r>
    </w:p>
    <w:p w14:paraId="375E7A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5.乙方承诺妥善处理对外关系（含债权债务关系），因乙方原因导致甲方被第三方提起诉讼（或仲裁），每发生一起乙方向甲方承担支付违约金5万元，同时甲方有权按照案件标的金额冻结应支付乙方的款项，直至案件终结。</w:t>
      </w:r>
    </w:p>
    <w:p w14:paraId="4DCAEC0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七、不可抗力</w:t>
      </w:r>
    </w:p>
    <w:p w14:paraId="280DF5B9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1.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不可抗力是指本合同签订后发生的、不能预见、不能避免且不能克服的客观情况，包括但不限于地震、洪水、台风等自然灾害以及战争、政府行为等；</w:t>
      </w:r>
    </w:p>
    <w:p w14:paraId="6999D66E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2.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任何一方因不可抗力不能履行本合同的，应在事件发生后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日内书面通知对方，并提供相关证明文件；</w:t>
      </w:r>
    </w:p>
    <w:p w14:paraId="1371EC2A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3.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因不可抗力导致合同无法履行的，双方应协商决定延期履行或解除合同；</w:t>
      </w:r>
    </w:p>
    <w:p w14:paraId="485206CD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4.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因不可抗力解除合同的，双方互不承担违约责任，已履行部分按实际完成工作量结算。</w:t>
      </w:r>
    </w:p>
    <w:p w14:paraId="7D1F057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八、争议的解决方式</w:t>
      </w:r>
    </w:p>
    <w:p w14:paraId="7609071C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双方发生争议的，可协商解决；也可提请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甲方所在地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的人民法院提出诉讼，如乙方违约发生争议或因乙方原因导致甲方涉入诉讼，甲方为实现债权发生的费用（包括但不限于诉讼费、保全费、执行费、律师费、差旅费、评估费、公告费等费用）均由乙方承担。。</w:t>
      </w:r>
    </w:p>
    <w:p w14:paraId="65D69A7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九、其他</w:t>
      </w:r>
    </w:p>
    <w:p w14:paraId="5D868A50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1.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本合同自双方法定代表人或授权代表签字并加盖公章之日起生效；</w:t>
      </w:r>
    </w:p>
    <w:p w14:paraId="6279A02B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2.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本合同一式肆份，甲方执贰份，乙方执贰份，具有同等法律效力；</w:t>
      </w:r>
    </w:p>
    <w:p w14:paraId="290D8583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3.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本合同未尽事宜，双方可另行签订补充协议，补充协议与本合同具有同等法律效力，补充协议内容与本合同不一致的，以补充协议为准；</w:t>
      </w:r>
    </w:p>
    <w:p w14:paraId="0509768E">
      <w:pPr>
        <w:pStyle w:val="2"/>
        <w:keepNext w:val="0"/>
        <w:keepLines w:val="0"/>
        <w:widowControl/>
        <w:suppressLineNumbers w:val="0"/>
        <w:ind w:left="0" w:firstLine="640" w:firstLineChars="200"/>
        <w:rPr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val="en-US"/>
        </w:rPr>
        <w:t>4.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本合同附件为本合同不可分割的组成部分，与本合同具有同等法律效力。</w:t>
      </w:r>
      <w:r>
        <w:rPr>
          <w:lang w:val="en-US"/>
        </w:rPr>
        <w:t xml:space="preserve"> </w:t>
      </w:r>
    </w:p>
    <w:p w14:paraId="5D82118F">
      <w:pPr>
        <w:pStyle w:val="2"/>
        <w:keepNext w:val="0"/>
        <w:keepLines w:val="0"/>
        <w:widowControl/>
        <w:suppressLineNumbers w:val="0"/>
        <w:ind w:left="0" w:firstLine="480" w:firstLineChars="200"/>
        <w:rPr>
          <w:lang w:val="en-US"/>
        </w:rPr>
      </w:pPr>
    </w:p>
    <w:p w14:paraId="0A401CC4">
      <w:pPr>
        <w:pStyle w:val="2"/>
        <w:keepNext w:val="0"/>
        <w:keepLines w:val="0"/>
        <w:widowControl/>
        <w:suppressLineNumbers w:val="0"/>
        <w:ind w:left="0" w:firstLine="480" w:firstLineChars="200"/>
        <w:rPr>
          <w:lang w:val="en-US"/>
        </w:rPr>
      </w:pPr>
    </w:p>
    <w:p w14:paraId="7378FACC">
      <w:pPr>
        <w:pStyle w:val="2"/>
        <w:keepNext w:val="0"/>
        <w:keepLines w:val="0"/>
        <w:widowControl/>
        <w:suppressLineNumbers w:val="0"/>
        <w:ind w:left="0" w:firstLine="480" w:firstLineChars="200"/>
        <w:rPr>
          <w:lang w:val="en-US"/>
        </w:rPr>
      </w:pPr>
    </w:p>
    <w:p w14:paraId="058BEB1E">
      <w:pPr>
        <w:pStyle w:val="2"/>
        <w:keepNext w:val="0"/>
        <w:keepLines w:val="0"/>
        <w:widowControl/>
        <w:suppressLineNumbers w:val="0"/>
        <w:rPr>
          <w:lang w:val="en-US"/>
        </w:rPr>
      </w:pPr>
    </w:p>
    <w:p w14:paraId="143F330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甲方（签名/盖章）：          乙方（签名/盖章）：</w:t>
      </w:r>
    </w:p>
    <w:p w14:paraId="649AFF7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法定代表人：                法定代表人：</w:t>
      </w:r>
    </w:p>
    <w:p w14:paraId="7D65163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委托代理人：                委托代理人：</w:t>
      </w:r>
    </w:p>
    <w:p w14:paraId="75B17D6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  年   月   日                年   月   日</w:t>
      </w:r>
    </w:p>
    <w:p w14:paraId="35DC8A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91ADF"/>
    <w:rsid w:val="01F20BFD"/>
    <w:rsid w:val="06D52768"/>
    <w:rsid w:val="0EAE7DAC"/>
    <w:rsid w:val="152C5C1A"/>
    <w:rsid w:val="1C4F3C15"/>
    <w:rsid w:val="2BB31ED3"/>
    <w:rsid w:val="2C2F0B0B"/>
    <w:rsid w:val="40247AF8"/>
    <w:rsid w:val="56057F4D"/>
    <w:rsid w:val="66522FDF"/>
    <w:rsid w:val="67636024"/>
    <w:rsid w:val="6FC16C1B"/>
    <w:rsid w:val="740B04DA"/>
    <w:rsid w:val="781B4C35"/>
    <w:rsid w:val="7F22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6">
    <w:name w:val="段"/>
    <w:basedOn w:val="1"/>
    <w:next w:val="1"/>
    <w:qFormat/>
    <w:uiPriority w:val="0"/>
    <w:pPr>
      <w:keepNext w:val="0"/>
      <w:keepLines w:val="0"/>
      <w:widowControl/>
      <w:suppressLineNumbers w:val="0"/>
      <w:autoSpaceDE w:val="0"/>
      <w:autoSpaceDN w:val="0"/>
      <w:adjustRightInd w:val="0"/>
      <w:snapToGrid w:val="0"/>
      <w:spacing w:before="0" w:beforeAutospacing="0" w:after="0" w:afterAutospacing="0" w:line="360" w:lineRule="auto"/>
      <w:ind w:left="0" w:right="0" w:firstLine="200" w:firstLineChars="200"/>
      <w:jc w:val="both"/>
    </w:pPr>
    <w:rPr>
      <w:rFonts w:hint="eastAsia" w:ascii="宋体" w:hAnsi="Calibri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2501</Words>
  <Characters>2565</Characters>
  <Lines>0</Lines>
  <Paragraphs>0</Paragraphs>
  <TotalTime>0</TotalTime>
  <ScaleCrop>false</ScaleCrop>
  <LinksUpToDate>false</LinksUpToDate>
  <CharactersWithSpaces>2736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2026-03-24T09:15:00Z</dcterms:created>
  <dc:creator>Administrator</dc:creator>
  <cp:lastModifiedBy>贝妮</cp:lastModifiedBy>
  <cp:lastPrinted>2026-07-16T09:29:00Z</cp:lastPrinted>
  <dcterms:modified xsi:type="dcterms:W3CDTF">2026-07-31T05:29:22Z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eyJoZGlkIjoiOTU1YTYwNjQ3YzIyMzFmMjY1NGU1ZjBiODU4Nzc4OGYiLCJ1c2VySWQiOiIzNzY0MjMyMTgifQ==</vt:lpwstr>
  </property>
  <property fmtid="{D5CDD505-2E9C-101B-9397-08002B2CF9AE}" pid="4" name="ICV">
    <vt:lpwstr>42CD7A3AD5DF424B933D555EC484E6BB_13</vt:lpwstr>
  </property>
</Properties>
</file>